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7D7A19" w:rsidRPr="00E442BE" w:rsidTr="00B17C30">
        <w:trPr>
          <w:cantSplit/>
          <w:trHeight w:val="1041"/>
        </w:trPr>
        <w:tc>
          <w:tcPr>
            <w:tcW w:w="4502" w:type="dxa"/>
          </w:tcPr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="0005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АФУРИ РАЙОНЫ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Ү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АУЫЛ СОВЕТЫ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354" w:type="dxa"/>
          </w:tcPr>
          <w:p w:rsidR="007D7A19" w:rsidRPr="00EE05B7" w:rsidRDefault="007D7A19" w:rsidP="00B17C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ТАШБУКАНОВСКИЙ СЕЛЬСОВЕТ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ГАФУРИЙСКИЙ РАЙОН</w:t>
            </w:r>
            <w:r w:rsidRPr="00EE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7D7A19" w:rsidRPr="00A024E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7D7A19" w:rsidRPr="00A024E9" w:rsidTr="00B17C30">
        <w:trPr>
          <w:trHeight w:val="100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7D7A19" w:rsidRPr="00A024E9" w:rsidRDefault="007D7A19" w:rsidP="00B17C30">
            <w:pPr>
              <w:spacing w:after="0" w:line="240" w:lineRule="auto"/>
              <w:ind w:left="-108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7A19" w:rsidRPr="00A024E9" w:rsidRDefault="007D7A19" w:rsidP="007D7A19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7D7A19" w:rsidRPr="004E375C" w:rsidTr="00B17C30">
        <w:tc>
          <w:tcPr>
            <w:tcW w:w="3148" w:type="dxa"/>
          </w:tcPr>
          <w:p w:rsidR="007D7A19" w:rsidRPr="004E375C" w:rsidRDefault="000541DA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ba-RU" w:eastAsia="ru-RU"/>
              </w:rPr>
              <w:t>Ҡ</w:t>
            </w:r>
            <w:r w:rsidR="007D7A19"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А Р А Р</w:t>
            </w: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</w:t>
            </w:r>
            <w:proofErr w:type="gramEnd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Е Ш Е Н И Е</w:t>
            </w:r>
          </w:p>
        </w:tc>
      </w:tr>
    </w:tbl>
    <w:p w:rsidR="007D7A19" w:rsidRPr="00A024E9" w:rsidRDefault="007D7A19" w:rsidP="007D7A19">
      <w:pPr>
        <w:spacing w:after="0"/>
        <w:jc w:val="both"/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</w:pPr>
    </w:p>
    <w:p w:rsidR="004E375C" w:rsidRDefault="004E375C" w:rsidP="004E37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5C" w:rsidRDefault="004E375C" w:rsidP="004E37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ОБЩЕГО ПОРЯДКА И УСЛОВИЙ ПРЕДОСТАВЛЕНИЯ МЕЖБЮДЖЕТНЫХ ТРАНСФЕРТОВ ИЗ МЕСТНЫХ БЮДЖЕТОВ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5C" w:rsidRPr="004E375C" w:rsidRDefault="004E375C" w:rsidP="004E37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5" w:history="1">
        <w:r w:rsidRPr="004E37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6</w:t>
        </w:r>
      </w:hyperlink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Башкортостан "О бюджетном процессе в Республике Башкортостан" и </w:t>
      </w:r>
      <w:hyperlink r:id="rId6" w:history="1">
        <w:r w:rsidRPr="004E37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"О межбюджетных отношениях в Республике Башкортостан", Постановления Правительства Республики Башкортостан от 4 мая 2010 года №159 «Об утверждении порядка и условий предоставления межбюджетных трансфертов из местных бюджетов», руководствуясь Положением «О бюджетном процессе в сельском поселении Ташбукановский сельсовет муниципального района Гафурийский</w:t>
      </w:r>
      <w:r w:rsidRPr="004E3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</w:t>
      </w: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End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Башкортостан», Совет сельского поселения Ташбукановский сельсовет муниципального района  Гафурийский район Республики Башкортостан </w:t>
      </w:r>
    </w:p>
    <w:p w:rsidR="004E375C" w:rsidRPr="004E375C" w:rsidRDefault="004E375C" w:rsidP="004E375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57" w:history="1">
        <w:r w:rsidRPr="004E37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общий порядок и условия</w:t>
        </w:r>
      </w:hyperlink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трансфертов из местных бюджетов.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 Постоянную комиссию по бюджету, налогам, вопросам муниципальной собственности Совета сельского поселения Ташбукановский сельсовет муниципального района Гафурийский район Республики Башкортостан (председатель комиссии  </w:t>
      </w:r>
      <w:proofErr w:type="spellStart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Мулюков</w:t>
      </w:r>
      <w:proofErr w:type="spellEnd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Г.).</w:t>
      </w:r>
    </w:p>
    <w:p w:rsidR="00F10EAD" w:rsidRPr="004E375C" w:rsidRDefault="00F10EAD" w:rsidP="004E375C">
      <w:pPr>
        <w:tabs>
          <w:tab w:val="left" w:pos="1460"/>
        </w:tabs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5C" w:rsidRDefault="004E375C" w:rsidP="004E375C">
      <w:pPr>
        <w:tabs>
          <w:tab w:val="left" w:pos="146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AD" w:rsidRPr="004E375C" w:rsidRDefault="00F10EAD" w:rsidP="004E375C">
      <w:pPr>
        <w:tabs>
          <w:tab w:val="left" w:pos="146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Г.Х.Азимова </w:t>
      </w:r>
    </w:p>
    <w:p w:rsidR="00F10EAD" w:rsidRPr="004E375C" w:rsidRDefault="00F10EAD" w:rsidP="004E375C">
      <w:pPr>
        <w:tabs>
          <w:tab w:val="left" w:pos="1460"/>
        </w:tabs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5C" w:rsidRDefault="004E375C" w:rsidP="004E375C">
      <w:pPr>
        <w:tabs>
          <w:tab w:val="left" w:pos="146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AD" w:rsidRPr="004E375C" w:rsidRDefault="00F10EAD" w:rsidP="004E375C">
      <w:pPr>
        <w:tabs>
          <w:tab w:val="left" w:pos="146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Нижний Ташбукан </w:t>
      </w:r>
    </w:p>
    <w:p w:rsidR="00F10EAD" w:rsidRPr="004E375C" w:rsidRDefault="004E375C" w:rsidP="004E375C">
      <w:pPr>
        <w:tabs>
          <w:tab w:val="left" w:pos="146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0EAD"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0EAD"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2018г.</w:t>
      </w:r>
    </w:p>
    <w:p w:rsidR="00F10EAD" w:rsidRPr="004E375C" w:rsidRDefault="004E375C" w:rsidP="004E375C">
      <w:pPr>
        <w:tabs>
          <w:tab w:val="left" w:pos="146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</w:t>
      </w:r>
      <w:r w:rsidR="00F10EAD"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0EAD"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Решением Совета сельского поселения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4"/>
          <w:szCs w:val="28"/>
          <w:lang w:eastAsia="ru-RU"/>
        </w:rPr>
        <w:t>Ташбукановский сельсовет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4"/>
          <w:szCs w:val="28"/>
          <w:lang w:eastAsia="ru-RU"/>
        </w:rPr>
        <w:t>Гафурийский район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09 апреля 2018 г. </w:t>
      </w:r>
      <w:r w:rsidRPr="004E375C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63-168з</w:t>
      </w:r>
    </w:p>
    <w:p w:rsidR="004E375C" w:rsidRPr="004E375C" w:rsidRDefault="004E375C" w:rsidP="004E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5C" w:rsidRPr="004E375C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2"/>
      <w:bookmarkStart w:id="1" w:name="Par57"/>
      <w:bookmarkEnd w:id="0"/>
      <w:bookmarkEnd w:id="1"/>
      <w:r w:rsidRPr="004E3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ПОРЯДОК И УСЛОВИЯ</w:t>
      </w:r>
    </w:p>
    <w:p w:rsidR="004E375C" w:rsidRPr="004E375C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МЕЖБЮДЖЕТНЫХ ТРАНСФЕРТОВ ИЗ МЕСТНЫХ БЮДЖЕТОВ</w:t>
      </w:r>
    </w:p>
    <w:p w:rsidR="004E375C" w:rsidRPr="004E375C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5C" w:rsidRPr="004E375C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общий порядок и условия предоставления межбюджетных трансфертов из местных бюджетов определяют механизм и условия предоставления межбюджетных трансфертов из бюджета сельского поселения </w:t>
      </w:r>
      <w:r w:rsidR="00A86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Ташбукановский сельсовет</w:t>
      </w: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 (далее СП МР Гафурийский район).</w:t>
      </w:r>
    </w:p>
    <w:p w:rsidR="004E375C" w:rsidRPr="004E375C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межбюджетных трансфертов из бюджета СП МР Гафурийский район  Республики Башкортостан осуществляется в пределах бюджетных ассигнований, предусмотренных на эти цели в решении представительного органа СП МР Гафурийский район Республики Башкортостан о бюджете МР Гафурийский район Республики Башкортостан по соответствующим целевым статьям расходов бюджета МР Гафурийский район Республики Башкортостан.</w:t>
      </w:r>
    </w:p>
    <w:p w:rsidR="004E375C" w:rsidRPr="004E375C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из бюджета СП МР Гафурийский район бюджету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требований бюджетного законодательства Российской Федерации, Республики Башкортостан и нормативных правовых актов органов местного самоуправления МР Гафурийский район Республики Башкортостан, регулирующих бюджетные правоотношения.</w:t>
      </w:r>
      <w:proofErr w:type="gramEnd"/>
    </w:p>
    <w:p w:rsidR="004E375C" w:rsidRPr="004E375C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A8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из местных бюджетов перечисляются на счет по исполнению бюджета МР Гафурийский район Республики Башкортостан.</w:t>
      </w:r>
    </w:p>
    <w:p w:rsidR="004E375C" w:rsidRPr="004E375C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Межбюджетные трансферты в форме субсидий, прочих межбюджетных трансфертов общего характера бюджету МР Гафурийский район Республики Башкортостан предоставляются в соответствии с целями и условиями их предоставления, установленными нормативными правовыми актами Правительства МР Гафурийский район Республики Башкортостан, на </w:t>
      </w:r>
      <w:proofErr w:type="spellStart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4E375C" w:rsidRPr="004E375C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межбюджетные трансферты из местных бюджетов предоставляются для поддержки мер по обеспечению финансовых возможностей органов местного самоуправления по осуществлению своих полномочий по решению вопросов местного значения и на осуществление части полномочий по решению вопросов местного значения в соответствии с заключенными соглашениями.</w:t>
      </w:r>
    </w:p>
    <w:p w:rsidR="004E375C" w:rsidRPr="004E375C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6A7C73" w:rsidRPr="0049558B" w:rsidRDefault="004E375C" w:rsidP="00A867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Межбюджетные трансферты в форме прочих межбюджетных трансфертов общего характера предоставляются в целях </w:t>
      </w:r>
      <w:proofErr w:type="spellStart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расходных обязательств МР Гафурийский район Республики Башкортостан в установленном порядке, в соответствии с нормативными правовыми актами администрации МР Гафурийский район Республики Башкортостан и органов местного самоуправления сельских поселений МР Гафурийский район Республики Башкортостан.</w:t>
      </w:r>
      <w:bookmarkStart w:id="2" w:name="_GoBack"/>
      <w:bookmarkEnd w:id="2"/>
    </w:p>
    <w:sectPr w:rsidR="006A7C73" w:rsidRPr="0049558B" w:rsidSect="006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29"/>
    <w:rsid w:val="00052EDE"/>
    <w:rsid w:val="000541DA"/>
    <w:rsid w:val="00081C7E"/>
    <w:rsid w:val="000A09BC"/>
    <w:rsid w:val="000D5626"/>
    <w:rsid w:val="001B1AEC"/>
    <w:rsid w:val="00303829"/>
    <w:rsid w:val="003551D5"/>
    <w:rsid w:val="003F2853"/>
    <w:rsid w:val="0049558B"/>
    <w:rsid w:val="004E375C"/>
    <w:rsid w:val="005E2B3D"/>
    <w:rsid w:val="0061315D"/>
    <w:rsid w:val="006A7C73"/>
    <w:rsid w:val="006B77E0"/>
    <w:rsid w:val="006E4A9E"/>
    <w:rsid w:val="006F5E0B"/>
    <w:rsid w:val="007D7A19"/>
    <w:rsid w:val="00831561"/>
    <w:rsid w:val="00A3322D"/>
    <w:rsid w:val="00A867E3"/>
    <w:rsid w:val="00A91E4B"/>
    <w:rsid w:val="00AD2471"/>
    <w:rsid w:val="00AE6A90"/>
    <w:rsid w:val="00B30E4C"/>
    <w:rsid w:val="00B66BEA"/>
    <w:rsid w:val="00BB02E1"/>
    <w:rsid w:val="00C23F6F"/>
    <w:rsid w:val="00CE04CE"/>
    <w:rsid w:val="00E453C0"/>
    <w:rsid w:val="00E45891"/>
    <w:rsid w:val="00E6032D"/>
    <w:rsid w:val="00EB7189"/>
    <w:rsid w:val="00EC1E26"/>
    <w:rsid w:val="00EE05B7"/>
    <w:rsid w:val="00F10EAD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EBF96C7C301FFD46D9593FDB8F1811A0B8092CA1C9D08E32F2F590C84D4EDd6F1F" TargetMode="External"/><Relationship Id="rId5" Type="http://schemas.openxmlformats.org/officeDocument/2006/relationships/hyperlink" Target="consultantplus://offline/ref=E6CEBF96C7C301FFD46D9593FDB8F1811A0B8092CA15930CE12F2F590C84D4ED614BDD7BE96B8F393781AFdFFE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47</cp:revision>
  <cp:lastPrinted>2018-04-09T11:47:00Z</cp:lastPrinted>
  <dcterms:created xsi:type="dcterms:W3CDTF">2017-05-25T06:02:00Z</dcterms:created>
  <dcterms:modified xsi:type="dcterms:W3CDTF">2018-04-09T11:48:00Z</dcterms:modified>
</cp:coreProperties>
</file>